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Toc194065628"/>
      <w:bookmarkStart w:id="1" w:name="_Toc196715296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cs="黑体"/>
          <w:b w:val="0"/>
          <w:bCs w:val="0"/>
          <w:kern w:val="0"/>
          <w:sz w:val="32"/>
          <w:szCs w:val="32"/>
          <w:lang w:val="en-US" w:eastAsia="zh-CN"/>
        </w:rPr>
        <w:t>4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lang w:eastAsia="zh-CN"/>
        </w:rPr>
        <w:t>教学机构（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lang w:val="en-US" w:eastAsia="zh-CN"/>
        </w:rPr>
        <w:t>学部、学院、系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lang w:eastAsia="zh-CN"/>
        </w:rPr>
        <w:t>）2020-2023年</w:t>
      </w:r>
      <w:bookmarkEnd w:id="0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lang w:eastAsia="zh-CN"/>
        </w:rPr>
        <w:t>目标任务书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312" w:afterLines="100" w:line="4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年1月—20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年12月）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学校第十三次党代会的决策部署，推动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高质量内涵式发展，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</w:t>
      </w:r>
      <w:r>
        <w:rPr>
          <w:rFonts w:hint="eastAsia" w:ascii="仿宋_GB2312" w:hAnsi="仿宋_GB2312" w:eastAsia="仿宋_GB2312" w:cs="仿宋_GB2312"/>
          <w:sz w:val="32"/>
          <w:szCs w:val="32"/>
        </w:rPr>
        <w:t>世界一流特色研究型大学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建设步伐，根据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2020-2023年学校目标任务，结合本单位实际，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</w:t>
      </w:r>
      <w:r>
        <w:rPr>
          <w:rFonts w:hint="eastAsia" w:ascii="仿宋_GB2312" w:hAnsi="仿宋_GB2312" w:eastAsia="仿宋_GB2312" w:cs="仿宋_GB2312"/>
          <w:sz w:val="32"/>
          <w:szCs w:val="32"/>
        </w:rPr>
        <w:t>订××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学院（学部、系）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目标任务书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一、建设目标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</w:t>
      </w:r>
      <w:r>
        <w:rPr>
          <w:rFonts w:hint="eastAsia" w:ascii="仿宋_GB2312" w:hAnsi="仿宋_GB2312" w:eastAsia="仿宋_GB2312" w:cs="仿宋_GB2312"/>
          <w:sz w:val="32"/>
          <w:szCs w:val="32"/>
        </w:rPr>
        <w:t>时学院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党建与思想政治工作、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学科、科研、人才培养、师资队伍、装备条件、内部管理等方面应达到的发展质量和水平进行概括描述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。字数控制在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200字以内。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目标任务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1、能力建设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（包括党建、思想政治、组织、宣传思想文化、党风廉政建设、师德师风、统战群团、安全稳定等方面的工作。）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2、定量指标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详见附表：《教学机构（学部、学院、系）2020-2023年目标任务》。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三、特色亮点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（完成目标任务中最能体现本单位工作特色与成效的新举措新做法。）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特色亮点1：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特色亮点2：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四、重点突破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（能够展现担当精神，促进学校内涵式发展、具有一定难度系数和攻坚特征的项目任务。）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五、内部治理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（包括规范管理、执行力建设、民主管理、学术治理、财务及资产管理、网络安全与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环境建设等方面的工作。）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附表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lang w:val="en-US" w:eastAsia="zh-CN"/>
        </w:rPr>
        <w:t>教学机构（学部、学院、系）2020-2023年目标任务</w:t>
      </w:r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4165"/>
        <w:gridCol w:w="1416"/>
        <w:gridCol w:w="14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tblHeader/>
          <w:jc w:val="center"/>
        </w:trPr>
        <w:tc>
          <w:tcPr>
            <w:tcW w:w="4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2020-2023年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  <w:t>关键指标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任务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目标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  <w:t>下达部门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4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立德树人</w:t>
            </w: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1.全国重点马克思主义学院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46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建设</w:t>
            </w: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2.学科评估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发规处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3.一级博士学位授权点（个）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4.工程博士专业学位授权点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5.“双一流”建设学科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发规处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46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培养</w:t>
            </w:r>
          </w:p>
        </w:tc>
        <w:tc>
          <w:tcPr>
            <w:tcW w:w="2244" w:type="pct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6.招生规模（人/年）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学生处</w:t>
            </w:r>
          </w:p>
          <w:p>
            <w:pPr>
              <w:widowControl/>
              <w:jc w:val="center"/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研究生院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国教院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7.中外合作办学项目（个）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国际处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8.博士论文抽检合格率（%）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9.江苏省优秀博士论文（篇）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10.江苏省优秀硕士论文（篇）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11.“双万计划”国家级一流本科专业建设点（个）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12.“双万计划”国家级一流本科课程（门）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13.国家级教学成果奖（项）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科学研究</w:t>
            </w: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14.科研合同经费（亿元）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科技处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社科处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15.三类高质量论文（篇）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科技处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社科处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16.国家级奖励（项）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科技处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社科处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17.省部级奖励（项）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科技处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社科处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18.国家自然科学基金委创新研究群体、杰青、优青项目（项）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19.国家级科研基地（个）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科技处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社科处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20.省部级科研基地（个）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科技处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社科处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21.科技成果转化效益（万元）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产业院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6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国际化发展</w:t>
            </w: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22.新增“111”引智基地（个）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国际处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23.主办具有重要影响的国际会议（次）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国际处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24.国际重要学术组织任职（人）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国际处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25.高水平国际合作伙伴（个）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国际处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26.教育部国别和区域研究中心（个）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国际处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6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队伍建设</w:t>
            </w: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27.引进流动岗、博士后研究人员（人）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28.教师中博士学位比（%）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29.院士（人）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30.国家级人才计划（人）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31.国家和省部级创新团队（支）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32.国家“万人计划”教学名师（人）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6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  <w:t>类别</w:t>
            </w:r>
          </w:p>
        </w:tc>
        <w:tc>
          <w:tcPr>
            <w:tcW w:w="224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职能部门细化指标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任务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目标</w:t>
            </w: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  <w:t>下达部门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6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224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224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23042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71D123"/>
    <w:multiLevelType w:val="singleLevel"/>
    <w:tmpl w:val="8371D12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96343"/>
    <w:rsid w:val="02361E9F"/>
    <w:rsid w:val="031865EB"/>
    <w:rsid w:val="0A0F1C53"/>
    <w:rsid w:val="0D425259"/>
    <w:rsid w:val="0DEF1CA3"/>
    <w:rsid w:val="0E532685"/>
    <w:rsid w:val="129D6012"/>
    <w:rsid w:val="16641CCE"/>
    <w:rsid w:val="1E4E65B0"/>
    <w:rsid w:val="1F896D16"/>
    <w:rsid w:val="20AB36EB"/>
    <w:rsid w:val="269B2E18"/>
    <w:rsid w:val="28145FC5"/>
    <w:rsid w:val="28344295"/>
    <w:rsid w:val="29412920"/>
    <w:rsid w:val="2AD92DD4"/>
    <w:rsid w:val="2CC825C7"/>
    <w:rsid w:val="2E2C0B95"/>
    <w:rsid w:val="2E68573A"/>
    <w:rsid w:val="2EEA54DB"/>
    <w:rsid w:val="308543B8"/>
    <w:rsid w:val="32896343"/>
    <w:rsid w:val="344A74F5"/>
    <w:rsid w:val="37702A26"/>
    <w:rsid w:val="392B4DDD"/>
    <w:rsid w:val="39787D0F"/>
    <w:rsid w:val="3D687784"/>
    <w:rsid w:val="40076ABA"/>
    <w:rsid w:val="41A22C95"/>
    <w:rsid w:val="42EA4B66"/>
    <w:rsid w:val="43386D74"/>
    <w:rsid w:val="43A90D0A"/>
    <w:rsid w:val="45447BE5"/>
    <w:rsid w:val="46363807"/>
    <w:rsid w:val="4999221F"/>
    <w:rsid w:val="49AB08C3"/>
    <w:rsid w:val="4ABF0BA7"/>
    <w:rsid w:val="4D005595"/>
    <w:rsid w:val="4DCF1059"/>
    <w:rsid w:val="4DE34B00"/>
    <w:rsid w:val="51385A03"/>
    <w:rsid w:val="537C433B"/>
    <w:rsid w:val="538D08E7"/>
    <w:rsid w:val="53DE3F5D"/>
    <w:rsid w:val="54631387"/>
    <w:rsid w:val="55025C11"/>
    <w:rsid w:val="55B165EA"/>
    <w:rsid w:val="561001C6"/>
    <w:rsid w:val="5BA43A81"/>
    <w:rsid w:val="5E8D307D"/>
    <w:rsid w:val="634F2635"/>
    <w:rsid w:val="63611007"/>
    <w:rsid w:val="656A1AD3"/>
    <w:rsid w:val="67927FE0"/>
    <w:rsid w:val="69465651"/>
    <w:rsid w:val="6A956413"/>
    <w:rsid w:val="6DD4278F"/>
    <w:rsid w:val="72C8766C"/>
    <w:rsid w:val="79837106"/>
    <w:rsid w:val="7A8B63A6"/>
    <w:rsid w:val="7A953726"/>
    <w:rsid w:val="7BE669F1"/>
    <w:rsid w:val="7DE6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2020-04-26T09:00:00Z</dcterms:created>
  <dc:creator>永明HHU</dc:creator>
  <cp:lastModifiedBy>永明HHU</cp:lastModifiedBy>
  <cp:lastPrinted>2020-05-26T03:02:00Z</cp:lastPrinted>
  <dcterms:modified xsi:type="dcterms:W3CDTF">2020-05-26T04:07:25Z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