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b/>
          <w:bCs/>
          <w:sz w:val="36"/>
          <w:szCs w:val="44"/>
        </w:rPr>
      </w:pPr>
      <w:r>
        <w:rPr>
          <w:rFonts w:hint="eastAsia" w:ascii="方正小标宋简体" w:eastAsia="方正小标宋简体"/>
          <w:sz w:val="36"/>
        </w:rPr>
        <w:t>河海大学2018年重点工作</w:t>
      </w:r>
    </w:p>
    <w:tbl>
      <w:tblPr>
        <w:tblStyle w:val="6"/>
        <w:tblW w:w="14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047"/>
        <w:gridCol w:w="1558"/>
        <w:gridCol w:w="1200"/>
        <w:gridCol w:w="2839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outlineLvl w:val="9"/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outlineLvl w:val="9"/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  <w:t>重点工作内容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outlineLvl w:val="9"/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  <w:t>完成情况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outlineLvl w:val="9"/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  <w:t>完成率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val="en-US" w:eastAsia="zh-CN"/>
              </w:rPr>
              <w:t>%</w:t>
            </w: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outlineLvl w:val="9"/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  <w:t>年终预期完成情况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  <w:t>【可完成/不可完成</w:t>
            </w: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  <w:t>】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  <w:t>不</w:t>
            </w:r>
            <w:bookmarkStart w:id="0" w:name="_GoBack"/>
            <w:bookmarkEnd w:id="0"/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  <w:t>可完成</w:t>
            </w: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  <w:lang w:eastAsia="zh-CN"/>
              </w:rPr>
              <w:t>的</w:t>
            </w:r>
            <w:r>
              <w:rPr>
                <w:rStyle w:val="7"/>
                <w:rFonts w:hint="eastAsia" w:ascii="仿宋_GB2312" w:hAnsi="黑体" w:cs="仿宋"/>
                <w:color w:val="auto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深入学习贯彻习近平新时代中国特色社会主义思想、党的十九大和全国高校思想政治工作会精神，全面加强党的领导，全面贯彻落实学校第十三次党代会提出的各项任务。制定年度重点工作任务，推进校内重大（点）工作部署落实的督查督办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全面贯彻落实党委领导下的校长负责制，深入推进现代大学制度建设，推进校区一体化发展，落实“双一流”学科建设任务，全面深化改革，全面提升治理能力，促进学校内涵式发展。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设立建设中法学院，培育中外合作办学机构3-5个。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拓展与欧美国际知名大学的校际合作，建立新的高水平合作伙伴关系10家。提升本科生出国访学比例30%。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建设学校英文网站。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构建十大育人体系，制定并落实思想政治工作质量提升工程实施细则。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完成校园人文景观、水文化特色校园规划设计，建设众创空间、创新小镇。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完成校友资料库，举办分类校友论坛。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全面理顺并归口管理学校招投标工作。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完成校办企业关停并转4家。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开展校内巡察，年度巡察不少于5家。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制定干部长效培训制度，干部培训常态化。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开展对科研经费管理等廉政风险防控专项督查。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上半年出台各类人员聘用管理、考核办法，形成人员分类管理体系。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按照“双一流”建设和学科建设行动计划要求，出台人才引育规划及绩效薪酬分配办法。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完成移动校园建设和运行。完成水利学科和环境学科“河海大学机构知识库”建设。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上半年完成学校所有学科的建设规划，明确施工图，确保“双一流”学科高质量通过验收，第五轮学科评估全面提升进位。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制定实施一流本科建设行动计划。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确保获得国家级教学成果奖1项，力争2项。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结合本科教学审核评估整改，上半年完成教室和教学实验室条件规划。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制订学校组织申报重大、重点科技项目实施意见。根据ISO标准的要求规范科研项目立项、中期检查、结题验收的全过程管理。新增科研合同经费6亿元。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制订“一带一路”水安全与可持续发展基金项目管理办法。制订水科技项目指南并发布。国家重点实验室以优秀通过验收。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修订完善学术成果奖励机制，加大ESI收录论文和学科评估指标成果的奖励力度，体现科研津贴与奖励津贴相结合。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对接“双一流”建设，做好基建论证等条件保障工作。下半年完成教室和教学实验室建设。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完成绿色校园示范项目一期建设。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0" w:firstLineChars="200"/>
              <w:outlineLvl w:val="9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完成后勤服务标准化、信息化建设。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8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outlineLvl w:val="9"/>
              <w:rPr>
                <w:rFonts w:ascii="仿宋_GB2312"/>
                <w:kern w:val="0"/>
                <w:sz w:val="28"/>
                <w:szCs w:val="28"/>
                <w:vertAlign w:val="baseline"/>
              </w:rPr>
            </w:pPr>
          </w:p>
        </w:tc>
      </w:tr>
    </w:tbl>
    <w:p/>
    <w:sectPr>
      <w:footerReference r:id="rId3" w:type="default"/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F6DAE"/>
    <w:rsid w:val="2DFF6DAE"/>
    <w:rsid w:val="3E3B3CC9"/>
    <w:rsid w:val="53764D5E"/>
    <w:rsid w:val="6D535020"/>
    <w:rsid w:val="785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0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2018-07-03T10:37:00Z</dcterms:created>
  <dc:creator>lenovo</dc:creator>
  <cp:lastModifiedBy>lenovo</cp:lastModifiedBy>
  <dcterms:modified xsi:type="dcterms:W3CDTF">2018-07-03T10:59:25Z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