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华文中宋" w:eastAsia="方正小标宋简体" w:cs="华文中宋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华文中宋" w:eastAsia="方正小标宋简体" w:cs="华文中宋"/>
          <w:bCs/>
          <w:kern w:val="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简体" w:hAnsi="华文中宋" w:eastAsia="方正小标宋简体" w:cs="华文中宋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36"/>
          <w:szCs w:val="36"/>
        </w:rPr>
        <w:t>河海大学2018年主要任务与发展目标</w:t>
      </w:r>
    </w:p>
    <w:p>
      <w:pPr>
        <w:spacing w:line="500" w:lineRule="exact"/>
        <w:jc w:val="center"/>
        <w:rPr>
          <w:rFonts w:ascii="方正小标宋简体" w:hAnsi="华文中宋" w:eastAsia="方正小标宋简体" w:cs="华文中宋"/>
          <w:bCs/>
          <w:kern w:val="0"/>
          <w:sz w:val="36"/>
          <w:szCs w:val="36"/>
        </w:rPr>
      </w:pPr>
    </w:p>
    <w:tbl>
      <w:tblPr>
        <w:tblStyle w:val="5"/>
        <w:tblW w:w="1412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7"/>
        <w:gridCol w:w="2811"/>
        <w:gridCol w:w="58"/>
        <w:gridCol w:w="2334"/>
        <w:gridCol w:w="1284"/>
        <w:gridCol w:w="1284"/>
        <w:gridCol w:w="3394"/>
        <w:gridCol w:w="228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tblHeader/>
          <w:jc w:val="center"/>
        </w:trPr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黑体" w:cs="仿宋"/>
                <w:sz w:val="28"/>
                <w:szCs w:val="28"/>
              </w:rPr>
            </w:pPr>
            <w:r>
              <w:rPr>
                <w:rStyle w:val="6"/>
                <w:rFonts w:hint="default" w:ascii="仿宋_GB2312" w:hAnsi="黑体" w:eastAsia="仿宋_GB2312" w:cs="仿宋"/>
                <w:color w:val="auto"/>
                <w:sz w:val="28"/>
                <w:szCs w:val="28"/>
              </w:rPr>
              <w:t>指</w:t>
            </w: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  <w:t xml:space="preserve">  </w:t>
            </w:r>
            <w:r>
              <w:rPr>
                <w:rStyle w:val="6"/>
                <w:rFonts w:hint="default" w:ascii="仿宋_GB2312" w:hAnsi="黑体" w:eastAsia="仿宋_GB2312" w:cs="仿宋"/>
                <w:color w:val="auto"/>
                <w:sz w:val="28"/>
                <w:szCs w:val="28"/>
              </w:rPr>
              <w:t>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黑体" w:cs="仿宋"/>
                <w:sz w:val="28"/>
                <w:szCs w:val="28"/>
              </w:rPr>
            </w:pP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  <w:t>2018</w:t>
            </w:r>
            <w:r>
              <w:rPr>
                <w:rStyle w:val="6"/>
                <w:rFonts w:hint="default" w:ascii="仿宋_GB2312" w:hAnsi="黑体" w:eastAsia="仿宋_GB2312" w:cs="仿宋"/>
                <w:color w:val="auto"/>
                <w:sz w:val="28"/>
                <w:szCs w:val="28"/>
              </w:rPr>
              <w:t>年目标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eastAsia="zh-CN"/>
              </w:rPr>
              <w:t>完成情况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  <w:t>完成率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黑体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val="en-US" w:eastAsia="zh-CN"/>
              </w:rPr>
              <w:t>%</w:t>
            </w: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  <w:t>年终预期完成情况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黑体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  <w:t>【可完成/不</w:t>
            </w:r>
            <w:bookmarkStart w:id="0" w:name="_GoBack"/>
            <w:bookmarkEnd w:id="0"/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  <w:t>可完成</w:t>
            </w: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eastAsia="zh-CN"/>
              </w:rPr>
              <w:t>】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eastAsia="zh-CN"/>
              </w:rPr>
              <w:t>年终</w:t>
            </w: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  <w:t>不可完成理由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  <w:t>学科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  <w:t>建设</w:t>
            </w: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进入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ESI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前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1%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学科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新增材料科学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进入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ESI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前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1‰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学科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工程学、环境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/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生态学、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计算机科学确保进位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  <w:t>人才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  <w:t>培养</w:t>
            </w: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全日制研究生招生数（人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/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年）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博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400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博士论文抽检合格率（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%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95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江苏省优秀博士论文（篇）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江苏省优秀硕士论文（篇）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学术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12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，专业学位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国家级教学成果奖（项）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国家级示范教材（门）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8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国家精品课程（门）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创新创业课程（门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/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年）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本科生招生数（人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/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年）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5000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创青春国赛奖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（项）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省级及以上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创新创业大赛奖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（项）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全国大学生艺术展演一等奖（项）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就业率（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%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97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外国留学生人数（人）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1500，其中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学历生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950，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欧美国家学生10人以上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中外合作办学机构和项目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（个）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新增1，培育2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学生出国访学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提升30%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  <w:t>科学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  <w:t>研究</w:t>
            </w: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新增科研合同经费（亿元）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重大、重点项目（项）（国家重点研发计划、国家自然基金重大、重点项目、国家社科基金重大、重点项目）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国家自然基金项目数（项）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160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国家社科基金项目数（项）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8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国防项目（万元）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1000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国际合作项目（项）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5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（按外汇结算）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SCI/SSCI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论文（篇）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1500（其中SSCI论文100篇）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ESI</w:t>
            </w:r>
            <w:r>
              <w:rPr>
                <w:rStyle w:val="8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高被引论文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（篇）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8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新增</w:t>
            </w:r>
            <w:r>
              <w:rPr>
                <w:rStyle w:val="9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  <w:t>科学</w:t>
            </w:r>
          </w:p>
          <w:p>
            <w:r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  <w:t>研究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CSSCI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论文（篇）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400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1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区、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2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区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SCI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论文所占比例（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%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学术期刊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WSE进入SCI检索，IF&gt;1.3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WSE成为IAHR会刊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国家级奖励（项）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主持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省部级奖励（项）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主持一等奖：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国家发明专利授权数（项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/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年）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500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PCT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国际专利授权数（项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/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年）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国家级科研基地（个）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科技成果转化收入（万元）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500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  <w:t>国际化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  <w:t>发展</w:t>
            </w: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高水平国际合作伙伴（个）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学校层面10，每学院1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出国进修（人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/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年）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70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主办大型国际会议（次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/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年）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海外办学点（个）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新增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省外国留学生英文授课精品课程（门）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新增2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聘请长期专家来校工作（人次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/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年）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60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国际重要学术组织任职（人）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新增2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外籍专业教师任职（人）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  <w:t>队伍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  <w:t>建设</w:t>
            </w: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新增专任教师（人）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100（其中高级职称30人以上）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千人计划（人）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长江学者（人）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1-2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四青（人）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3-5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百千万人才工程（人）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万人计划（人）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国家和省部级创新团队（支）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杰青（人）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1-2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青千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（人）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1-2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  <w:t>社会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  <w:t>服务</w:t>
            </w: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经营性净资产规模（亿元）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  <w:t>1.15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国际培训项目（个）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新增1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面向行业继续教育招生数（人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/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年）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4500（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或利润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1000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万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67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color w:val="auto"/>
                <w:sz w:val="28"/>
                <w:szCs w:val="28"/>
              </w:rPr>
              <w:t>其它</w:t>
            </w: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交付使用基本建设（万平方米</w:t>
            </w:r>
            <w:r>
              <w:rPr>
                <w:rStyle w:val="7"/>
                <w:rFonts w:hint="eastAsia" w:ascii="仿宋_GB2312" w:hAnsi="仿宋" w:cs="仿宋"/>
                <w:b w:val="0"/>
                <w:bCs/>
                <w:color w:val="auto"/>
                <w:sz w:val="28"/>
                <w:szCs w:val="28"/>
              </w:rPr>
              <w:t>/</w:t>
            </w: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年）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  <w:t>11.4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46335"/>
    <w:rsid w:val="06D61534"/>
    <w:rsid w:val="46C5261A"/>
    <w:rsid w:val="50976103"/>
    <w:rsid w:val="51F46335"/>
    <w:rsid w:val="58FC54AE"/>
    <w:rsid w:val="6D2D1F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0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9">
    <w:name w:val="font51"/>
    <w:qFormat/>
    <w:uiPriority w:val="0"/>
    <w:rPr>
      <w:rFonts w:hint="default" w:ascii="Times New Roman" w:hAnsi="Times New Roman" w:cs="Times New Roman"/>
      <w:b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2018-07-03T10:35:00Z</dcterms:created>
  <dc:creator>lenovo</dc:creator>
  <cp:lastModifiedBy>lenovo</cp:lastModifiedBy>
  <dcterms:modified xsi:type="dcterms:W3CDTF">2018-07-03T11:00:40Z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