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45" w:rsidRDefault="00563545" w:rsidP="00563545">
      <w:pPr>
        <w:rPr>
          <w:rFonts w:ascii="Times New Roman" w:eastAsia="仿宋" w:hAnsi="Times New Roman" w:cs="Times New Roman"/>
          <w:sz w:val="28"/>
          <w:szCs w:val="28"/>
        </w:rPr>
      </w:pPr>
      <w:r w:rsidRPr="00837145">
        <w:rPr>
          <w:rFonts w:ascii="Times New Roman" w:eastAsia="仿宋" w:hAnsi="Times New Roman" w:cs="Times New Roman" w:hint="eastAsia"/>
          <w:sz w:val="28"/>
          <w:szCs w:val="28"/>
        </w:rPr>
        <w:t>附件</w:t>
      </w:r>
      <w:r>
        <w:rPr>
          <w:rFonts w:ascii="Times New Roman" w:eastAsia="仿宋" w:hAnsi="Times New Roman" w:cs="Times New Roman" w:hint="eastAsia"/>
          <w:sz w:val="28"/>
          <w:szCs w:val="28"/>
        </w:rPr>
        <w:t>4</w:t>
      </w:r>
      <w:r w:rsidRPr="00837145">
        <w:rPr>
          <w:rFonts w:ascii="Times New Roman" w:eastAsia="仿宋" w:hAnsi="Times New Roman" w:cs="Times New Roman" w:hint="eastAsia"/>
          <w:sz w:val="28"/>
          <w:szCs w:val="28"/>
        </w:rPr>
        <w:t>：</w:t>
      </w:r>
    </w:p>
    <w:p w:rsidR="00563545" w:rsidRDefault="00563545" w:rsidP="00563545">
      <w:pPr>
        <w:jc w:val="center"/>
        <w:rPr>
          <w:rFonts w:ascii="方正小标宋简体" w:eastAsia="方正小标宋简体" w:hAnsi="黑体" w:cs="Times New Roman"/>
          <w:sz w:val="32"/>
          <w:szCs w:val="36"/>
        </w:rPr>
      </w:pPr>
      <w:bookmarkStart w:id="0" w:name="_GoBack"/>
      <w:r w:rsidRPr="008168CB">
        <w:rPr>
          <w:rFonts w:ascii="方正小标宋简体" w:eastAsia="方正小标宋简体" w:hAnsi="黑体" w:cs="Times New Roman" w:hint="eastAsia"/>
          <w:sz w:val="32"/>
          <w:szCs w:val="36"/>
        </w:rPr>
        <w:t>《河海大学贯彻落实深化高等教育领域简政放权放管结合优化服务改革若干意见实施细则》自查</w:t>
      </w:r>
      <w:bookmarkEnd w:id="0"/>
      <w:r w:rsidRPr="008168CB">
        <w:rPr>
          <w:rFonts w:ascii="方正小标宋简体" w:eastAsia="方正小标宋简体" w:hAnsi="黑体" w:cs="Times New Roman" w:hint="eastAsia"/>
          <w:sz w:val="32"/>
          <w:szCs w:val="36"/>
        </w:rPr>
        <w:t>报告</w:t>
      </w:r>
    </w:p>
    <w:p w:rsidR="00563545" w:rsidRPr="00AB5C30" w:rsidRDefault="00563545" w:rsidP="00563545">
      <w:pPr>
        <w:jc w:val="center"/>
        <w:rPr>
          <w:rFonts w:ascii="方正小标宋简体" w:eastAsia="方正小标宋简体" w:hAnsi="黑体" w:cs="Times New Roman"/>
          <w:sz w:val="32"/>
          <w:szCs w:val="36"/>
        </w:rPr>
      </w:pPr>
      <w:r>
        <w:rPr>
          <w:rFonts w:ascii="方正小标宋简体" w:eastAsia="方正小标宋简体" w:hAnsi="黑体" w:cs="Times New Roman" w:hint="eastAsia"/>
          <w:sz w:val="32"/>
          <w:szCs w:val="36"/>
        </w:rPr>
        <w:t>任务分工及编写提</w:t>
      </w:r>
      <w:r w:rsidRPr="00AB5C30">
        <w:rPr>
          <w:rFonts w:ascii="方正小标宋简体" w:eastAsia="方正小标宋简体" w:hAnsi="黑体" w:cs="Times New Roman" w:hint="eastAsia"/>
          <w:sz w:val="32"/>
          <w:szCs w:val="36"/>
        </w:rPr>
        <w:t>纲</w:t>
      </w:r>
    </w:p>
    <w:tbl>
      <w:tblPr>
        <w:tblStyle w:val="a3"/>
        <w:tblW w:w="5386" w:type="pct"/>
        <w:tblLook w:val="04A0" w:firstRow="1" w:lastRow="0" w:firstColumn="1" w:lastColumn="0" w:noHBand="0" w:noVBand="1"/>
      </w:tblPr>
      <w:tblGrid>
        <w:gridCol w:w="1706"/>
        <w:gridCol w:w="2938"/>
        <w:gridCol w:w="1843"/>
        <w:gridCol w:w="2693"/>
      </w:tblGrid>
      <w:tr w:rsidR="00563545" w:rsidRPr="00E32FAF" w:rsidTr="00D91202">
        <w:trPr>
          <w:trHeight w:val="567"/>
          <w:tblHeader/>
        </w:trPr>
        <w:tc>
          <w:tcPr>
            <w:tcW w:w="929" w:type="pct"/>
            <w:vAlign w:val="center"/>
          </w:tcPr>
          <w:p w:rsidR="00563545" w:rsidRPr="00E32FAF" w:rsidRDefault="00563545" w:rsidP="00D91202">
            <w:pPr>
              <w:spacing w:line="400" w:lineRule="exact"/>
              <w:jc w:val="center"/>
              <w:rPr>
                <w:rFonts w:ascii="Times New Roman" w:eastAsia="仿宋" w:hAnsi="Times New Roman" w:cs="Times New Roman"/>
                <w:b/>
                <w:sz w:val="24"/>
                <w:szCs w:val="32"/>
              </w:rPr>
            </w:pPr>
            <w:r w:rsidRPr="00E32FAF">
              <w:rPr>
                <w:rFonts w:ascii="Times New Roman" w:eastAsia="仿宋" w:hAnsi="Times New Roman" w:cs="Times New Roman"/>
                <w:b/>
                <w:sz w:val="24"/>
                <w:szCs w:val="32"/>
              </w:rPr>
              <w:t>改革任务</w:t>
            </w:r>
          </w:p>
        </w:tc>
        <w:tc>
          <w:tcPr>
            <w:tcW w:w="1600" w:type="pct"/>
            <w:vAlign w:val="center"/>
          </w:tcPr>
          <w:p w:rsidR="00563545" w:rsidRPr="00E32FAF" w:rsidRDefault="00563545" w:rsidP="00D91202">
            <w:pPr>
              <w:spacing w:line="400" w:lineRule="exact"/>
              <w:jc w:val="center"/>
              <w:rPr>
                <w:rFonts w:ascii="Times New Roman" w:eastAsia="仿宋" w:hAnsi="Times New Roman" w:cs="Times New Roman"/>
                <w:b/>
                <w:sz w:val="24"/>
                <w:szCs w:val="32"/>
              </w:rPr>
            </w:pPr>
            <w:r w:rsidRPr="00E32FAF">
              <w:rPr>
                <w:rFonts w:ascii="Times New Roman" w:eastAsia="仿宋" w:hAnsi="Times New Roman" w:cs="Times New Roman"/>
                <w:b/>
                <w:sz w:val="24"/>
                <w:szCs w:val="32"/>
              </w:rPr>
              <w:t>改革举措</w:t>
            </w:r>
          </w:p>
        </w:tc>
        <w:tc>
          <w:tcPr>
            <w:tcW w:w="1004" w:type="pct"/>
            <w:vAlign w:val="center"/>
          </w:tcPr>
          <w:p w:rsidR="00563545" w:rsidRPr="00E32FAF" w:rsidRDefault="00563545" w:rsidP="00D91202">
            <w:pPr>
              <w:spacing w:line="400" w:lineRule="exact"/>
              <w:jc w:val="center"/>
              <w:rPr>
                <w:rFonts w:ascii="Times New Roman" w:eastAsia="仿宋" w:hAnsi="Times New Roman" w:cs="Times New Roman"/>
                <w:b/>
                <w:sz w:val="24"/>
                <w:szCs w:val="32"/>
              </w:rPr>
            </w:pPr>
            <w:r w:rsidRPr="00E32FAF">
              <w:rPr>
                <w:rFonts w:ascii="Times New Roman" w:eastAsia="仿宋" w:hAnsi="Times New Roman" w:cs="Times New Roman"/>
                <w:b/>
                <w:sz w:val="24"/>
                <w:szCs w:val="32"/>
              </w:rPr>
              <w:t>牵头部门</w:t>
            </w:r>
          </w:p>
        </w:tc>
        <w:tc>
          <w:tcPr>
            <w:tcW w:w="1467" w:type="pct"/>
            <w:vAlign w:val="center"/>
          </w:tcPr>
          <w:p w:rsidR="00563545" w:rsidRPr="00E32FAF" w:rsidRDefault="00563545" w:rsidP="00D91202">
            <w:pPr>
              <w:spacing w:line="400" w:lineRule="exact"/>
              <w:jc w:val="center"/>
              <w:rPr>
                <w:rFonts w:ascii="Times New Roman" w:eastAsia="仿宋" w:hAnsi="Times New Roman" w:cs="Times New Roman"/>
                <w:b/>
                <w:sz w:val="24"/>
                <w:szCs w:val="32"/>
              </w:rPr>
            </w:pPr>
            <w:r>
              <w:rPr>
                <w:rFonts w:ascii="Times New Roman" w:eastAsia="仿宋" w:hAnsi="Times New Roman" w:cs="Times New Roman" w:hint="eastAsia"/>
                <w:b/>
                <w:sz w:val="24"/>
                <w:szCs w:val="32"/>
              </w:rPr>
              <w:t>编写提纲</w:t>
            </w:r>
          </w:p>
        </w:tc>
      </w:tr>
      <w:tr w:rsidR="00563545" w:rsidRPr="00E32FAF" w:rsidTr="00D91202">
        <w:trPr>
          <w:trHeight w:val="567"/>
        </w:trPr>
        <w:tc>
          <w:tcPr>
            <w:tcW w:w="929" w:type="pct"/>
            <w:vMerge w:val="restart"/>
            <w:vAlign w:val="center"/>
          </w:tcPr>
          <w:p w:rsidR="00563545" w:rsidRPr="00E32FAF" w:rsidRDefault="00563545" w:rsidP="00D91202">
            <w:pPr>
              <w:spacing w:line="400" w:lineRule="exact"/>
              <w:rPr>
                <w:rFonts w:ascii="Times New Roman" w:eastAsia="仿宋_GB2312" w:hAnsi="Times New Roman" w:cs="Times New Roman"/>
                <w:spacing w:val="-4"/>
                <w:sz w:val="24"/>
                <w:szCs w:val="28"/>
              </w:rPr>
            </w:pPr>
            <w:r w:rsidRPr="00E32FAF">
              <w:rPr>
                <w:rFonts w:ascii="Times New Roman" w:eastAsia="仿宋_GB2312" w:hAnsi="Times New Roman" w:cs="Times New Roman"/>
                <w:spacing w:val="-4"/>
                <w:sz w:val="24"/>
                <w:szCs w:val="28"/>
              </w:rPr>
              <w:t>一、</w:t>
            </w:r>
            <w:r w:rsidRPr="00351A07">
              <w:rPr>
                <w:rFonts w:ascii="Times New Roman" w:eastAsia="仿宋_GB2312" w:hAnsi="Times New Roman" w:cs="Times New Roman" w:hint="eastAsia"/>
                <w:spacing w:val="-4"/>
                <w:sz w:val="24"/>
                <w:szCs w:val="28"/>
              </w:rPr>
              <w:t>完善学校学科专业设置机制</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1.</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提升学位授权点质量</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学科处</w:t>
            </w:r>
          </w:p>
        </w:tc>
        <w:tc>
          <w:tcPr>
            <w:tcW w:w="1467" w:type="pct"/>
          </w:tcPr>
          <w:p w:rsidR="00563545" w:rsidRPr="00501697" w:rsidRDefault="00563545" w:rsidP="00D91202">
            <w:pP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1.</w:t>
            </w:r>
            <w:r w:rsidRPr="00501697">
              <w:rPr>
                <w:rFonts w:ascii="Times New Roman" w:eastAsia="仿宋_GB2312" w:hAnsi="Times New Roman" w:cs="Times New Roman" w:hint="eastAsia"/>
                <w:spacing w:val="-4"/>
                <w:sz w:val="24"/>
                <w:szCs w:val="28"/>
              </w:rPr>
              <w:t>工作进展及成效</w:t>
            </w:r>
          </w:p>
          <w:p w:rsidR="00563545" w:rsidRPr="00501697" w:rsidRDefault="00563545" w:rsidP="00D91202">
            <w:pP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2.</w:t>
            </w:r>
            <w:r w:rsidRPr="00501697">
              <w:rPr>
                <w:rFonts w:ascii="Times New Roman" w:eastAsia="仿宋_GB2312" w:hAnsi="Times New Roman" w:cs="Times New Roman" w:hint="eastAsia"/>
                <w:spacing w:val="-4"/>
                <w:sz w:val="24"/>
                <w:szCs w:val="28"/>
              </w:rPr>
              <w:t>存在问题</w:t>
            </w:r>
          </w:p>
          <w:p w:rsidR="00563545" w:rsidRPr="00501697" w:rsidRDefault="00563545" w:rsidP="00D91202">
            <w:pP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3.</w:t>
            </w:r>
            <w:r w:rsidRPr="00501697">
              <w:rPr>
                <w:rFonts w:ascii="Times New Roman" w:eastAsia="仿宋_GB2312" w:hAnsi="Times New Roman" w:cs="Times New Roman" w:hint="eastAsia"/>
                <w:spacing w:val="-4"/>
                <w:sz w:val="24"/>
                <w:szCs w:val="28"/>
              </w:rPr>
              <w:t>下一步推进措施</w:t>
            </w:r>
            <w:r w:rsidRPr="00501697">
              <w:rPr>
                <w:rFonts w:ascii="Times New Roman" w:eastAsia="仿宋_GB2312" w:hAnsi="Times New Roman" w:cs="Times New Roman" w:hint="eastAsia"/>
                <w:spacing w:val="-4"/>
                <w:sz w:val="24"/>
                <w:szCs w:val="28"/>
              </w:rPr>
              <w:t>4.</w:t>
            </w:r>
            <w:r w:rsidRPr="00501697">
              <w:rPr>
                <w:rFonts w:ascii="Times New Roman" w:eastAsia="仿宋_GB2312" w:hAnsi="Times New Roman" w:cs="Times New Roman" w:hint="eastAsia"/>
                <w:spacing w:val="-4"/>
                <w:sz w:val="24"/>
                <w:szCs w:val="28"/>
              </w:rPr>
              <w:t>意见建议</w:t>
            </w:r>
          </w:p>
          <w:p w:rsidR="00563545" w:rsidRPr="00501697" w:rsidRDefault="00563545" w:rsidP="00D91202">
            <w:pP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（字数控制在</w:t>
            </w:r>
            <w:r w:rsidRPr="00501697">
              <w:rPr>
                <w:rFonts w:ascii="Times New Roman" w:eastAsia="仿宋_GB2312" w:hAnsi="Times New Roman" w:cs="Times New Roman" w:hint="eastAsia"/>
                <w:spacing w:val="-4"/>
                <w:sz w:val="24"/>
                <w:szCs w:val="28"/>
              </w:rPr>
              <w:t>500</w:t>
            </w:r>
            <w:r w:rsidRPr="00501697">
              <w:rPr>
                <w:rFonts w:ascii="Times New Roman" w:eastAsia="仿宋_GB2312" w:hAnsi="Times New Roman" w:cs="Times New Roman" w:hint="eastAsia"/>
                <w:spacing w:val="-4"/>
                <w:sz w:val="24"/>
                <w:szCs w:val="28"/>
              </w:rPr>
              <w:t>字以内）</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2.</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改进本科专业设置</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教务处</w:t>
            </w:r>
          </w:p>
        </w:tc>
        <w:tc>
          <w:tcPr>
            <w:tcW w:w="1467" w:type="pc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val="restar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二、</w:t>
            </w:r>
            <w:r w:rsidRPr="00501697">
              <w:rPr>
                <w:rFonts w:ascii="Times New Roman" w:eastAsia="仿宋_GB2312" w:hAnsi="Times New Roman" w:cs="Times New Roman" w:hint="eastAsia"/>
                <w:spacing w:val="-4"/>
                <w:sz w:val="24"/>
                <w:szCs w:val="28"/>
              </w:rPr>
              <w:t>改革学校编制及岗位管理制度</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3</w:t>
            </w:r>
            <w:r w:rsidRPr="00501697">
              <w:rPr>
                <w:rFonts w:ascii="Times New Roman" w:eastAsia="仿宋_GB2312" w:hAnsi="Times New Roman" w:cs="Times New Roman"/>
                <w:spacing w:val="-4"/>
                <w:sz w:val="24"/>
                <w:szCs w:val="28"/>
              </w:rPr>
              <w:t>.</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实行人员总量管理</w:t>
            </w:r>
          </w:p>
        </w:tc>
        <w:tc>
          <w:tcPr>
            <w:tcW w:w="1004" w:type="pct"/>
            <w:vMerge w:val="restar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人事处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4</w:t>
            </w:r>
            <w:r w:rsidRPr="00501697">
              <w:rPr>
                <w:rFonts w:ascii="Times New Roman" w:eastAsia="仿宋_GB2312" w:hAnsi="Times New Roman" w:cs="Times New Roman"/>
                <w:spacing w:val="-4"/>
                <w:sz w:val="24"/>
                <w:szCs w:val="28"/>
              </w:rPr>
              <w:t>.</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依法自主管理岗位设置</w:t>
            </w:r>
          </w:p>
        </w:tc>
        <w:tc>
          <w:tcPr>
            <w:tcW w:w="1004" w:type="pct"/>
            <w:vMerge/>
            <w:vAlign w:val="center"/>
          </w:tcPr>
          <w:p w:rsidR="00563545" w:rsidRPr="00501697" w:rsidRDefault="00563545" w:rsidP="00D91202">
            <w:pPr>
              <w:jc w:val="center"/>
              <w:rPr>
                <w:rFonts w:ascii="Times New Roman" w:eastAsia="仿宋_GB2312" w:hAnsi="Times New Roman" w:cs="Times New Roman"/>
                <w:spacing w:val="-4"/>
                <w:sz w:val="24"/>
                <w:szCs w:val="28"/>
              </w:rPr>
            </w:pP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5</w:t>
            </w:r>
            <w:r w:rsidRPr="00501697">
              <w:rPr>
                <w:rFonts w:ascii="Times New Roman" w:eastAsia="仿宋_GB2312" w:hAnsi="Times New Roman" w:cs="Times New Roman"/>
                <w:spacing w:val="-4"/>
                <w:sz w:val="24"/>
                <w:szCs w:val="28"/>
              </w:rPr>
              <w:t>.</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自主设置内设机构</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人事处、发</w:t>
            </w:r>
            <w:proofErr w:type="gramStart"/>
            <w:r w:rsidRPr="00501697">
              <w:rPr>
                <w:rFonts w:ascii="Times New Roman" w:eastAsia="仿宋_GB2312" w:hAnsi="Times New Roman" w:cs="Times New Roman" w:hint="eastAsia"/>
                <w:spacing w:val="-4"/>
                <w:sz w:val="24"/>
                <w:szCs w:val="28"/>
              </w:rPr>
              <w:t>规</w:t>
            </w:r>
            <w:proofErr w:type="gramEnd"/>
            <w:r w:rsidRPr="00501697">
              <w:rPr>
                <w:rFonts w:ascii="Times New Roman" w:eastAsia="仿宋_GB2312" w:hAnsi="Times New Roman" w:cs="Times New Roman" w:hint="eastAsia"/>
                <w:spacing w:val="-4"/>
                <w:sz w:val="24"/>
                <w:szCs w:val="28"/>
              </w:rPr>
              <w:t>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val="restar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三、</w:t>
            </w:r>
            <w:r w:rsidRPr="00501697">
              <w:rPr>
                <w:rFonts w:ascii="Times New Roman" w:eastAsia="仿宋_GB2312" w:hAnsi="Times New Roman" w:cs="Times New Roman" w:hint="eastAsia"/>
                <w:spacing w:val="-4"/>
                <w:sz w:val="24"/>
                <w:szCs w:val="28"/>
              </w:rPr>
              <w:t>改善学校进人用人环境</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6</w:t>
            </w:r>
            <w:r w:rsidRPr="00501697">
              <w:rPr>
                <w:rFonts w:ascii="Times New Roman" w:eastAsia="仿宋_GB2312" w:hAnsi="Times New Roman" w:cs="Times New Roman"/>
                <w:spacing w:val="-4"/>
                <w:sz w:val="24"/>
                <w:szCs w:val="28"/>
              </w:rPr>
              <w:t>.</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优化进人环境</w:t>
            </w:r>
          </w:p>
        </w:tc>
        <w:tc>
          <w:tcPr>
            <w:tcW w:w="1004" w:type="pct"/>
            <w:vMerge w:val="restar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人事处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tabs>
                <w:tab w:val="left" w:pos="825"/>
              </w:tabs>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7</w:t>
            </w:r>
            <w:r w:rsidRPr="00501697">
              <w:rPr>
                <w:rFonts w:ascii="Times New Roman" w:eastAsia="仿宋_GB2312" w:hAnsi="Times New Roman" w:cs="Times New Roman"/>
                <w:spacing w:val="-4"/>
                <w:sz w:val="24"/>
                <w:szCs w:val="28"/>
              </w:rPr>
              <w:t>.</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完善用人管理</w:t>
            </w:r>
          </w:p>
        </w:tc>
        <w:tc>
          <w:tcPr>
            <w:tcW w:w="1004" w:type="pct"/>
            <w:vMerge/>
            <w:vAlign w:val="center"/>
          </w:tcPr>
          <w:p w:rsidR="00563545" w:rsidRPr="00501697" w:rsidRDefault="00563545" w:rsidP="00D91202">
            <w:pPr>
              <w:jc w:val="center"/>
              <w:rPr>
                <w:rFonts w:ascii="Times New Roman" w:eastAsia="仿宋_GB2312" w:hAnsi="Times New Roman" w:cs="Times New Roman"/>
                <w:spacing w:val="-4"/>
                <w:sz w:val="24"/>
                <w:szCs w:val="28"/>
              </w:rPr>
            </w:pP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val="restar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四、</w:t>
            </w:r>
            <w:r w:rsidRPr="00501697">
              <w:rPr>
                <w:rFonts w:ascii="Times New Roman" w:eastAsia="仿宋_GB2312" w:hAnsi="Times New Roman" w:cs="Times New Roman" w:hint="eastAsia"/>
                <w:spacing w:val="-4"/>
                <w:sz w:val="24"/>
                <w:szCs w:val="28"/>
              </w:rPr>
              <w:t>改进学校教师职称评审机制</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8. </w:t>
            </w:r>
            <w:r w:rsidRPr="00501697">
              <w:rPr>
                <w:rFonts w:ascii="Times New Roman" w:eastAsia="仿宋_GB2312" w:hAnsi="Times New Roman" w:cs="Times New Roman" w:hint="eastAsia"/>
                <w:spacing w:val="-4"/>
                <w:sz w:val="24"/>
                <w:szCs w:val="28"/>
              </w:rPr>
              <w:t>下放教师职称评审权</w:t>
            </w:r>
          </w:p>
        </w:tc>
        <w:tc>
          <w:tcPr>
            <w:tcW w:w="1004" w:type="pct"/>
            <w:vMerge w:val="restar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人事处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9. </w:t>
            </w:r>
            <w:r w:rsidRPr="00501697">
              <w:rPr>
                <w:rFonts w:ascii="Times New Roman" w:eastAsia="仿宋_GB2312" w:hAnsi="Times New Roman" w:cs="Times New Roman" w:hint="eastAsia"/>
                <w:spacing w:val="-4"/>
                <w:sz w:val="24"/>
                <w:szCs w:val="28"/>
              </w:rPr>
              <w:t>改进教师职称评审方法</w:t>
            </w:r>
          </w:p>
        </w:tc>
        <w:tc>
          <w:tcPr>
            <w:tcW w:w="1004" w:type="pct"/>
            <w:vMerge/>
            <w:vAlign w:val="center"/>
          </w:tcPr>
          <w:p w:rsidR="00563545" w:rsidRPr="00501697" w:rsidRDefault="00563545" w:rsidP="00D91202">
            <w:pPr>
              <w:jc w:val="center"/>
              <w:rPr>
                <w:rFonts w:ascii="Times New Roman" w:eastAsia="仿宋_GB2312" w:hAnsi="Times New Roman" w:cs="Times New Roman"/>
                <w:spacing w:val="-4"/>
                <w:sz w:val="24"/>
                <w:szCs w:val="28"/>
              </w:rPr>
            </w:pP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912"/>
        </w:trPr>
        <w:tc>
          <w:tcPr>
            <w:tcW w:w="929" w:type="pct"/>
            <w:vMerge w:val="restar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五、</w:t>
            </w:r>
            <w:r w:rsidRPr="00501697">
              <w:rPr>
                <w:rFonts w:ascii="Times New Roman" w:eastAsia="仿宋_GB2312" w:hAnsi="Times New Roman" w:cs="Times New Roman" w:hint="eastAsia"/>
                <w:spacing w:val="-4"/>
                <w:sz w:val="24"/>
                <w:szCs w:val="28"/>
              </w:rPr>
              <w:t>健全符合中国特色现代大学特点的薪酬分配制度</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10. </w:t>
            </w:r>
            <w:r w:rsidRPr="00501697">
              <w:rPr>
                <w:rFonts w:ascii="Times New Roman" w:eastAsia="仿宋_GB2312" w:hAnsi="Times New Roman" w:cs="Times New Roman" w:hint="eastAsia"/>
                <w:spacing w:val="-4"/>
                <w:sz w:val="24"/>
                <w:szCs w:val="28"/>
              </w:rPr>
              <w:t>推进内部薪酬分配改革</w:t>
            </w:r>
          </w:p>
        </w:tc>
        <w:tc>
          <w:tcPr>
            <w:tcW w:w="1004" w:type="pct"/>
            <w:vMerge w:val="restar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人事处</w:t>
            </w:r>
          </w:p>
        </w:tc>
        <w:tc>
          <w:tcPr>
            <w:tcW w:w="1467" w:type="pc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1</w:t>
            </w:r>
            <w:r w:rsidRPr="00501697">
              <w:rPr>
                <w:rFonts w:ascii="Times New Roman" w:eastAsia="仿宋_GB2312" w:hAnsi="Times New Roman" w:cs="Times New Roman"/>
                <w:spacing w:val="-4"/>
                <w:sz w:val="24"/>
                <w:szCs w:val="28"/>
              </w:rPr>
              <w:t>1.</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加强绩效工资管理</w:t>
            </w:r>
          </w:p>
        </w:tc>
        <w:tc>
          <w:tcPr>
            <w:tcW w:w="1004" w:type="pct"/>
            <w:vMerge/>
            <w:vAlign w:val="center"/>
          </w:tcPr>
          <w:p w:rsidR="00563545" w:rsidRPr="00501697" w:rsidRDefault="00563545" w:rsidP="00D91202">
            <w:pPr>
              <w:jc w:val="center"/>
              <w:rPr>
                <w:rFonts w:ascii="Times New Roman" w:eastAsia="仿宋_GB2312" w:hAnsi="Times New Roman" w:cs="Times New Roman"/>
                <w:spacing w:val="-4"/>
                <w:sz w:val="24"/>
                <w:szCs w:val="28"/>
              </w:rPr>
            </w:pP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val="restart"/>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spacing w:val="-4"/>
                <w:sz w:val="24"/>
                <w:szCs w:val="28"/>
              </w:rPr>
              <w:t>六、</w:t>
            </w:r>
            <w:r w:rsidRPr="00501697">
              <w:rPr>
                <w:rFonts w:ascii="Times New Roman" w:eastAsia="仿宋_GB2312" w:hAnsi="Times New Roman" w:cs="Times New Roman" w:hint="eastAsia"/>
                <w:spacing w:val="-4"/>
                <w:sz w:val="24"/>
                <w:szCs w:val="28"/>
              </w:rPr>
              <w:t>完善和加强学校经费使用管理</w:t>
            </w: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1</w:t>
            </w:r>
            <w:r w:rsidRPr="00501697">
              <w:rPr>
                <w:rFonts w:ascii="Times New Roman" w:eastAsia="仿宋_GB2312" w:hAnsi="Times New Roman" w:cs="Times New Roman"/>
                <w:spacing w:val="-4"/>
                <w:sz w:val="24"/>
                <w:szCs w:val="28"/>
              </w:rPr>
              <w:t>2.</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改进经费使用管理</w:t>
            </w:r>
          </w:p>
        </w:tc>
        <w:tc>
          <w:tcPr>
            <w:tcW w:w="1004" w:type="pc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财务处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1</w:t>
            </w:r>
            <w:r w:rsidRPr="00501697">
              <w:rPr>
                <w:rFonts w:ascii="Times New Roman" w:eastAsia="仿宋_GB2312" w:hAnsi="Times New Roman" w:cs="Times New Roman"/>
                <w:spacing w:val="-4"/>
                <w:sz w:val="24"/>
                <w:szCs w:val="28"/>
              </w:rPr>
              <w:t>3.</w:t>
            </w:r>
            <w:r w:rsidRPr="00501697">
              <w:rPr>
                <w:rFonts w:ascii="Times New Roman" w:eastAsia="仿宋_GB2312" w:hAnsi="Times New Roman" w:cs="Times New Roman" w:hint="eastAsia"/>
                <w:spacing w:val="-4"/>
                <w:sz w:val="24"/>
                <w:szCs w:val="28"/>
              </w:rPr>
              <w:t xml:space="preserve"> </w:t>
            </w:r>
            <w:r w:rsidRPr="00501697">
              <w:rPr>
                <w:rFonts w:ascii="Times New Roman" w:eastAsia="仿宋_GB2312" w:hAnsi="Times New Roman" w:cs="Times New Roman" w:hint="eastAsia"/>
                <w:spacing w:val="-4"/>
                <w:sz w:val="24"/>
                <w:szCs w:val="28"/>
              </w:rPr>
              <w:t>优化资产处置</w:t>
            </w:r>
          </w:p>
        </w:tc>
        <w:tc>
          <w:tcPr>
            <w:tcW w:w="1004" w:type="pct"/>
            <w:vAlign w:val="center"/>
          </w:tcPr>
          <w:p w:rsidR="00563545" w:rsidRPr="00501697" w:rsidRDefault="00563545" w:rsidP="00D91202">
            <w:pPr>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资产处</w:t>
            </w:r>
          </w:p>
        </w:tc>
        <w:tc>
          <w:tcPr>
            <w:tcW w:w="1467" w:type="pct"/>
            <w:vAlign w:val="center"/>
          </w:tcPr>
          <w:p w:rsidR="00563545" w:rsidRPr="00501697" w:rsidRDefault="00563545" w:rsidP="00D91202">
            <w:pPr>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val="restar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七、完善学校内部治理</w:t>
            </w:r>
          </w:p>
        </w:tc>
        <w:tc>
          <w:tcPr>
            <w:tcW w:w="1600" w:type="pc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14. </w:t>
            </w:r>
            <w:r w:rsidRPr="00501697">
              <w:rPr>
                <w:rFonts w:ascii="Times New Roman" w:eastAsia="仿宋_GB2312" w:hAnsi="Times New Roman" w:cs="Times New Roman" w:hint="eastAsia"/>
                <w:spacing w:val="-4"/>
                <w:sz w:val="24"/>
                <w:szCs w:val="28"/>
              </w:rPr>
              <w:t>加强党对学校的领导</w:t>
            </w:r>
          </w:p>
        </w:tc>
        <w:tc>
          <w:tcPr>
            <w:tcW w:w="1004" w:type="pc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党办、组织部</w:t>
            </w:r>
          </w:p>
        </w:tc>
        <w:tc>
          <w:tcPr>
            <w:tcW w:w="1467" w:type="pct"/>
            <w:vAlign w:val="center"/>
          </w:tcPr>
          <w:p w:rsidR="00563545" w:rsidRPr="00501697" w:rsidRDefault="00563545" w:rsidP="00563545">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15. </w:t>
            </w:r>
            <w:r w:rsidRPr="00501697">
              <w:rPr>
                <w:rFonts w:ascii="Times New Roman" w:eastAsia="仿宋_GB2312" w:hAnsi="Times New Roman" w:cs="Times New Roman" w:hint="eastAsia"/>
                <w:spacing w:val="-4"/>
                <w:sz w:val="24"/>
                <w:szCs w:val="28"/>
              </w:rPr>
              <w:t>加强制度建设</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党办、校办、纪委、发</w:t>
            </w:r>
            <w:proofErr w:type="gramStart"/>
            <w:r w:rsidRPr="00501697">
              <w:rPr>
                <w:rFonts w:ascii="Times New Roman" w:eastAsia="仿宋_GB2312" w:hAnsi="Times New Roman" w:cs="Times New Roman" w:hint="eastAsia"/>
                <w:spacing w:val="-4"/>
                <w:sz w:val="24"/>
                <w:szCs w:val="28"/>
              </w:rPr>
              <w:t>规</w:t>
            </w:r>
            <w:proofErr w:type="gramEnd"/>
            <w:r w:rsidRPr="00501697">
              <w:rPr>
                <w:rFonts w:ascii="Times New Roman" w:eastAsia="仿宋_GB2312" w:hAnsi="Times New Roman" w:cs="Times New Roman" w:hint="eastAsia"/>
                <w:spacing w:val="-4"/>
                <w:sz w:val="24"/>
                <w:szCs w:val="28"/>
              </w:rPr>
              <w:t>处</w:t>
            </w:r>
          </w:p>
        </w:tc>
        <w:tc>
          <w:tcPr>
            <w:tcW w:w="1467" w:type="pct"/>
            <w:vAlign w:val="center"/>
          </w:tcPr>
          <w:p w:rsidR="00563545" w:rsidRPr="00501697" w:rsidRDefault="00563545" w:rsidP="00D91202">
            <w:pPr>
              <w:spacing w:line="400" w:lineRule="exact"/>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16. </w:t>
            </w:r>
            <w:r w:rsidRPr="00501697">
              <w:rPr>
                <w:rFonts w:ascii="Times New Roman" w:eastAsia="仿宋_GB2312" w:hAnsi="Times New Roman" w:cs="Times New Roman" w:hint="eastAsia"/>
                <w:spacing w:val="-4"/>
                <w:sz w:val="24"/>
                <w:szCs w:val="28"/>
              </w:rPr>
              <w:t>完善民主管理和学术治理</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校工会、发</w:t>
            </w:r>
            <w:proofErr w:type="gramStart"/>
            <w:r w:rsidRPr="00501697">
              <w:rPr>
                <w:rFonts w:ascii="Times New Roman" w:eastAsia="仿宋_GB2312" w:hAnsi="Times New Roman" w:cs="Times New Roman" w:hint="eastAsia"/>
                <w:spacing w:val="-4"/>
                <w:sz w:val="24"/>
                <w:szCs w:val="28"/>
              </w:rPr>
              <w:t>规</w:t>
            </w:r>
            <w:proofErr w:type="gramEnd"/>
            <w:r w:rsidRPr="00501697">
              <w:rPr>
                <w:rFonts w:ascii="Times New Roman" w:eastAsia="仿宋_GB2312" w:hAnsi="Times New Roman" w:cs="Times New Roman" w:hint="eastAsia"/>
                <w:spacing w:val="-4"/>
                <w:sz w:val="24"/>
                <w:szCs w:val="28"/>
              </w:rPr>
              <w:t>处</w:t>
            </w:r>
          </w:p>
        </w:tc>
        <w:tc>
          <w:tcPr>
            <w:tcW w:w="1467" w:type="pct"/>
            <w:vAlign w:val="center"/>
          </w:tcPr>
          <w:p w:rsidR="00563545" w:rsidRPr="00501697" w:rsidRDefault="00563545" w:rsidP="00D91202">
            <w:pPr>
              <w:spacing w:line="400" w:lineRule="exact"/>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r w:rsidR="00563545" w:rsidRPr="00E32FAF" w:rsidTr="00D91202">
        <w:trPr>
          <w:trHeight w:val="567"/>
        </w:trPr>
        <w:tc>
          <w:tcPr>
            <w:tcW w:w="929" w:type="pct"/>
            <w:vMerge/>
          </w:tcPr>
          <w:p w:rsidR="00563545" w:rsidRPr="00501697" w:rsidRDefault="00563545" w:rsidP="00D91202">
            <w:pPr>
              <w:spacing w:line="400" w:lineRule="exact"/>
              <w:rPr>
                <w:rFonts w:ascii="Times New Roman" w:eastAsia="仿宋_GB2312" w:hAnsi="Times New Roman" w:cs="Times New Roman"/>
                <w:spacing w:val="-4"/>
                <w:sz w:val="24"/>
                <w:szCs w:val="28"/>
              </w:rPr>
            </w:pPr>
          </w:p>
        </w:tc>
        <w:tc>
          <w:tcPr>
            <w:tcW w:w="1600" w:type="pct"/>
            <w:vAlign w:val="center"/>
          </w:tcPr>
          <w:p w:rsidR="00563545" w:rsidRPr="00501697" w:rsidRDefault="00563545" w:rsidP="00D91202">
            <w:pPr>
              <w:spacing w:line="400" w:lineRule="exact"/>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 xml:space="preserve">17. </w:t>
            </w:r>
            <w:r w:rsidRPr="00501697">
              <w:rPr>
                <w:rFonts w:ascii="Times New Roman" w:eastAsia="仿宋_GB2312" w:hAnsi="Times New Roman" w:cs="Times New Roman" w:hint="eastAsia"/>
                <w:spacing w:val="-4"/>
                <w:sz w:val="24"/>
                <w:szCs w:val="28"/>
              </w:rPr>
              <w:t>强化信息公开与社会监督</w:t>
            </w:r>
          </w:p>
        </w:tc>
        <w:tc>
          <w:tcPr>
            <w:tcW w:w="1004" w:type="pct"/>
            <w:vAlign w:val="center"/>
          </w:tcPr>
          <w:p w:rsidR="00563545" w:rsidRPr="00501697" w:rsidRDefault="00563545" w:rsidP="00D91202">
            <w:pPr>
              <w:spacing w:line="400" w:lineRule="exact"/>
              <w:jc w:val="center"/>
              <w:rPr>
                <w:rFonts w:ascii="Times New Roman" w:eastAsia="仿宋_GB2312" w:hAnsi="Times New Roman" w:cs="Times New Roman"/>
                <w:spacing w:val="-4"/>
                <w:sz w:val="24"/>
                <w:szCs w:val="28"/>
              </w:rPr>
            </w:pPr>
            <w:r w:rsidRPr="00501697">
              <w:rPr>
                <w:rFonts w:ascii="Times New Roman" w:eastAsia="仿宋_GB2312" w:hAnsi="Times New Roman" w:cs="Times New Roman" w:hint="eastAsia"/>
                <w:spacing w:val="-4"/>
                <w:sz w:val="24"/>
                <w:szCs w:val="28"/>
              </w:rPr>
              <w:t>校办</w:t>
            </w:r>
          </w:p>
        </w:tc>
        <w:tc>
          <w:tcPr>
            <w:tcW w:w="1467" w:type="pct"/>
            <w:vAlign w:val="center"/>
          </w:tcPr>
          <w:p w:rsidR="00563545" w:rsidRPr="00501697" w:rsidRDefault="00563545" w:rsidP="00D91202">
            <w:pPr>
              <w:spacing w:line="400" w:lineRule="exact"/>
              <w:jc w:val="center"/>
              <w:rPr>
                <w:rFonts w:ascii="Times New Roman" w:eastAsia="仿宋_GB2312" w:hAnsi="Times New Roman" w:cs="Times New Roman" w:hint="eastAsia"/>
                <w:spacing w:val="-4"/>
                <w:sz w:val="24"/>
                <w:szCs w:val="28"/>
              </w:rPr>
            </w:pPr>
            <w:r w:rsidRPr="00501697">
              <w:rPr>
                <w:rFonts w:ascii="Times New Roman" w:eastAsia="仿宋_GB2312" w:hAnsi="Times New Roman" w:cs="Times New Roman" w:hint="eastAsia"/>
                <w:spacing w:val="-4"/>
                <w:sz w:val="24"/>
                <w:szCs w:val="28"/>
              </w:rPr>
              <w:t>同上</w:t>
            </w:r>
          </w:p>
        </w:tc>
      </w:tr>
    </w:tbl>
    <w:p w:rsidR="0047219A" w:rsidRDefault="00563545"/>
    <w:sectPr w:rsidR="00472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45"/>
    <w:rsid w:val="000B3900"/>
    <w:rsid w:val="00563545"/>
    <w:rsid w:val="00D7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5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5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Company>Lenovo</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2018-10-29T03:34:00Z</dcterms:created>
  <dcterms:modified xsi:type="dcterms:W3CDTF">2018-10-29T03:35:00Z</dcterms:modified>
</cp:coreProperties>
</file>